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2A" w:rsidRPr="00865317" w:rsidRDefault="00C17A59" w:rsidP="00592F84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 w:rsidRPr="00923F9B">
        <w:rPr>
          <w:rFonts w:ascii="TH Mali Grade 6" w:hAnsi="TH Mali Grade 6" w:cs="TH Mali Grade 6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-196215</wp:posOffset>
            </wp:positionV>
            <wp:extent cx="733425" cy="733425"/>
            <wp:effectExtent l="19050" t="0" r="9525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5317">
        <w:rPr>
          <w:rFonts w:ascii="TH Mali Grade 6" w:hAnsi="TH Mali Grade 6" w:cs="TH Mali Grade 6"/>
          <w:b/>
          <w:bCs/>
          <w:sz w:val="40"/>
          <w:szCs w:val="40"/>
          <w:cs/>
        </w:rPr>
        <w:t>ขั้นตอน</w:t>
      </w:r>
      <w:r w:rsidR="000D3C25">
        <w:rPr>
          <w:rFonts w:ascii="TH Mali Grade 6" w:hAnsi="TH Mali Grade 6" w:cs="TH Mali Grade 6" w:hint="cs"/>
          <w:b/>
          <w:bCs/>
          <w:sz w:val="40"/>
          <w:szCs w:val="40"/>
          <w:cs/>
        </w:rPr>
        <w:t>การเปลี่ยนแปลง</w:t>
      </w:r>
      <w:r w:rsidRPr="00865317">
        <w:rPr>
          <w:rFonts w:ascii="TH Mali Grade 6" w:hAnsi="TH Mali Grade 6" w:cs="TH Mali Grade 6"/>
          <w:b/>
          <w:bCs/>
          <w:sz w:val="40"/>
          <w:szCs w:val="40"/>
          <w:cs/>
        </w:rPr>
        <w:t>การย้ายคณะหรือสาขา</w:t>
      </w:r>
    </w:p>
    <w:p w:rsidR="00C17A59" w:rsidRPr="00C17A59" w:rsidRDefault="00D34E63" w:rsidP="0062656B">
      <w:pPr>
        <w:jc w:val="both"/>
        <w:rPr>
          <w:rFonts w:ascii="TH Mali Grade 6" w:hAnsi="TH Mali Grade 6" w:cs="TH Mali Grade 6"/>
        </w:rPr>
      </w:pPr>
      <w:r>
        <w:rPr>
          <w:rFonts w:ascii="TH Mali Grade 6" w:hAnsi="TH Mali Grade 6" w:cs="TH Mali Grade 6"/>
          <w:noProof/>
        </w:rPr>
        <w:pict>
          <v:oval id="_x0000_s1026" style="position:absolute;left:0;text-align:left;margin-left:120.75pt;margin-top:10.3pt;width:211.5pt;height:40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C17A59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นักศึกษารับใบขอลงทะเบียนเรียน</w:t>
                  </w:r>
                </w:p>
                <w:p w:rsidR="00C17A59" w:rsidRPr="00C17A59" w:rsidRDefault="00C17A5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C17A59" w:rsidRDefault="00D34E63" w:rsidP="0062656B">
      <w:pPr>
        <w:jc w:val="both"/>
        <w:rPr>
          <w: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25.75pt;margin-top:25pt;width:.75pt;height:26.25pt;z-index:251673600" o:connectortype="straight" strokeweight="2.25pt">
            <v:stroke endarrow="block"/>
          </v:shape>
        </w:pict>
      </w:r>
    </w:p>
    <w:p w:rsidR="00865317" w:rsidRDefault="00D34E63" w:rsidP="0062656B">
      <w:pPr>
        <w:jc w:val="both"/>
        <w:rPr>
          <w:cs/>
        </w:rPr>
      </w:pPr>
      <w:r>
        <w:rPr>
          <w:noProof/>
        </w:rPr>
        <w:pict>
          <v:rect id="_x0000_s1027" style="position:absolute;left:0;text-align:left;margin-left:127.5pt;margin-top:18.95pt;width:198pt;height:28.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 w:rsidRPr="00C17A59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กรอกแบบฟอร์มคำร้องให้ครบถ้วน/ถูกต้อง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left:0;text-align:left;margin-left:226.5pt;margin-top:48.3pt;width:.75pt;height:26.25pt;z-index:251674624" o:connectortype="straight" strokeweight="2.25pt">
            <v:stroke endarrow="block"/>
          </v:shape>
        </w:pict>
      </w: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D34E63" w:rsidP="0062656B">
      <w:pPr>
        <w:jc w:val="both"/>
        <w:rPr>
          <w:cs/>
        </w:rPr>
      </w:pPr>
      <w:r>
        <w:rPr>
          <w:noProof/>
        </w:rPr>
        <w:pict>
          <v:shape id="_x0000_s1060" type="#_x0000_t32" style="position:absolute;left:0;text-align:left;margin-left:96pt;margin-top:24.4pt;width:37.5pt;height:0;z-index:251689984" o:connectortype="straight"/>
        </w:pict>
      </w:r>
      <w:r>
        <w:rPr>
          <w:noProof/>
        </w:rPr>
        <w:pict>
          <v:shape id="_x0000_s1057" type="#_x0000_t32" style="position:absolute;left:0;text-align:left;margin-left:96pt;margin-top:24.4pt;width:0;height:332.25pt;z-index:251686912" o:connectortype="straight"/>
        </w:pict>
      </w:r>
      <w:r>
        <w:rPr>
          <w:noProof/>
        </w:rPr>
        <w:pict>
          <v:rect id="_x0000_s1029" style="position:absolute;left:0;text-align:left;margin-left:133.5pt;margin-top:12.9pt;width:185.25pt;height:28.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 w:rsidRPr="00C17A59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ขอความเห็นจาก</w:t>
                  </w:r>
                  <w:r w:rsidR="003620AF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..</w:t>
                  </w:r>
                </w:p>
              </w:txbxContent>
            </v:textbox>
          </v:rect>
        </w:pict>
      </w:r>
    </w:p>
    <w:p w:rsidR="00865317" w:rsidRPr="00865317" w:rsidRDefault="00D34E63" w:rsidP="0062656B">
      <w:pPr>
        <w:jc w:val="both"/>
        <w:rPr>
          <w:cs/>
        </w:rPr>
      </w:pPr>
      <w:r>
        <w:rPr>
          <w:noProof/>
        </w:rPr>
        <w:pict>
          <v:shape id="_x0000_s1043" type="#_x0000_t32" style="position:absolute;left:0;text-align:left;margin-left:226.5pt;margin-top:9.75pt;width:.75pt;height:26.25pt;z-index:251676672" o:connectortype="straight" strokeweight="2.25pt">
            <v:stroke endarrow="block"/>
          </v:shape>
        </w:pict>
      </w:r>
    </w:p>
    <w:p w:rsidR="00865317" w:rsidRPr="00865317" w:rsidRDefault="00D34E63" w:rsidP="0062656B">
      <w:pPr>
        <w:jc w:val="both"/>
        <w:rPr>
          <w:cs/>
        </w:rPr>
      </w:pPr>
      <w:r>
        <w:rPr>
          <w:noProof/>
        </w:rPr>
        <w:pict>
          <v:shape id="_x0000_s1047" type="#_x0000_t32" style="position:absolute;left:0;text-align:left;margin-left:226.5pt;margin-top:197.15pt;width:.75pt;height:26.25pt;z-index:251680768" o:connectortype="straight" strokeweight="2.25p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225.75pt;margin-top:87.65pt;width:.75pt;height:26.25pt;z-index:251678720" o:connectortype="straight" strokeweight="2.25pt">
            <v:stroke endarrow="block"/>
          </v:shape>
        </w:pict>
      </w:r>
      <w:r>
        <w:rPr>
          <w:noProof/>
        </w:rPr>
        <w:pict>
          <v:rect id="_x0000_s1033" style="position:absolute;left:0;text-align:left;margin-left:134.25pt;margin-top:168.65pt;width:185.25pt;height:28.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ฝ่ายกองทุนกู้ยืมเพื่อการศึกษา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33.5pt;margin-top:278.15pt;width:185.25pt;height:28.5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ยื่นคำร้องที่ทะเบียน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34.25pt;margin-top:223.4pt;width:185.25pt;height:28.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ขออนุมัติจากคณบดี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21.5pt;margin-top:388.4pt;width:208.5pt;height:28.5pt;z-index:2516695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923F9B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ตรวจสอบรายละเอียดพร้อมหน่วย</w:t>
                  </w:r>
                  <w:proofErr w:type="spellStart"/>
                  <w:r w:rsidR="00C17A59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กิต</w:t>
                  </w:r>
                  <w:proofErr w:type="spellEnd"/>
                  <w:r w:rsidR="00C17A59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ทั้งหมด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20.75pt;margin-top:333.65pt;width:208.5pt;height:28.5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ดำเนินการเปลี่ยนคณะหรือสาขาในฐานข้อมูล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32" style="position:absolute;left:0;text-align:left;margin-left:225pt;margin-top:306.35pt;width:.75pt;height:26.25pt;z-index:251682816" o:connectortype="straight" strokeweight="2.25p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225pt;margin-top:362.15pt;width:.75pt;height:26.25pt;z-index:251685888" o:connectortype="straight" strokeweight="2.25pt">
            <v:stroke endarrow="block"/>
          </v:shape>
        </w:pict>
      </w:r>
      <w:r>
        <w:rPr>
          <w:noProof/>
        </w:rPr>
        <w:pict>
          <v:rect id="_x0000_s1030" style="position:absolute;left:0;text-align:left;margin-left:133.5pt;margin-top:3.65pt;width:185.25pt;height:28.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อาจารย์ที่ปรึกษา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225.75pt;margin-top:32.25pt;width:.75pt;height:26.25pt;z-index:251677696" o:connectortype="straight" strokeweight="2.25p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225.75pt;margin-top:416.9pt;width:.75pt;height:26.25pt;z-index:251684864" o:connectortype="straight" strokeweight="2.25p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25.75pt;margin-top:251.9pt;width:.75pt;height:26.25pt;z-index:251681792" o:connectortype="straight" strokeweight="2.25pt">
            <v:stroke endarrow="block"/>
          </v:shape>
        </w:pict>
      </w:r>
      <w:r>
        <w:rPr>
          <w:noProof/>
        </w:rPr>
        <w:pict>
          <v:rect id="_x0000_s1032" style="position:absolute;left:0;text-align:left;margin-left:133.5pt;margin-top:113.9pt;width:185.25pt;height:28.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ฝ่ายการเงิน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left:0;text-align:left;margin-left:226.5pt;margin-top:142.4pt;width:.75pt;height:26.25pt;z-index:251679744" o:connectortype="straight" strokeweight="2.25pt">
            <v:stroke endarrow="block"/>
          </v:shape>
        </w:pict>
      </w:r>
      <w:r>
        <w:rPr>
          <w:noProof/>
        </w:rPr>
        <w:pict>
          <v:rect id="_x0000_s1031" style="position:absolute;left:0;text-align:left;margin-left:133.5pt;margin-top:59.15pt;width:185.25pt;height:28.5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17A59" w:rsidRPr="00C17A59" w:rsidRDefault="00C17A59" w:rsidP="00C17A59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หัวหน้าสาขา</w:t>
                  </w:r>
                </w:p>
              </w:txbxContent>
            </v:textbox>
          </v:rect>
        </w:pict>
      </w: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865317" w:rsidP="0062656B">
      <w:pPr>
        <w:jc w:val="both"/>
        <w:rPr>
          <w:cs/>
        </w:rPr>
      </w:pPr>
    </w:p>
    <w:p w:rsidR="00865317" w:rsidRPr="00865317" w:rsidRDefault="00D34E63" w:rsidP="0062656B">
      <w:pPr>
        <w:jc w:val="both"/>
        <w:rPr>
          <w:cs/>
        </w:rPr>
      </w:pPr>
      <w:r>
        <w:rPr>
          <w:noProof/>
        </w:rPr>
        <w:pict>
          <v:shape id="_x0000_s1059" type="#_x0000_t32" style="position:absolute;left:0;text-align:left;margin-left:96pt;margin-top:1.15pt;width:37.5pt;height:0;z-index:251688960" o:connectortype="straight">
            <v:stroke endarrow="block"/>
          </v:shape>
        </w:pict>
      </w:r>
    </w:p>
    <w:p w:rsidR="00865317" w:rsidRPr="00865317" w:rsidRDefault="00865317" w:rsidP="0062656B">
      <w:pPr>
        <w:jc w:val="both"/>
        <w:rPr>
          <w:cs/>
        </w:rPr>
      </w:pPr>
    </w:p>
    <w:p w:rsidR="00865317" w:rsidRDefault="00865317" w:rsidP="0062656B">
      <w:pPr>
        <w:jc w:val="both"/>
        <w:rPr>
          <w:cs/>
        </w:rPr>
      </w:pPr>
    </w:p>
    <w:p w:rsidR="00C17A59" w:rsidRDefault="00D34E63" w:rsidP="0062656B">
      <w:pPr>
        <w:tabs>
          <w:tab w:val="left" w:pos="6045"/>
        </w:tabs>
        <w:jc w:val="both"/>
      </w:pPr>
      <w:r>
        <w:rPr>
          <w:noProof/>
        </w:rPr>
        <w:pict>
          <v:oval id="_x0000_s1039" style="position:absolute;left:0;text-align:left;margin-left:120pt;margin-top:55.2pt;width:211.5pt;height:40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23F9B" w:rsidRPr="00C17A59" w:rsidRDefault="00923F9B" w:rsidP="00923F9B">
                  <w:pPr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 w:rsidRPr="00C17A59"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  <w:t>นักศึกษารับใบขอลงทะเบียนเรียน</w:t>
                  </w:r>
                </w:p>
                <w:p w:rsidR="00923F9B" w:rsidRPr="00C17A59" w:rsidRDefault="00923F9B" w:rsidP="00923F9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865317">
        <w:rPr>
          <w:cs/>
        </w:rPr>
        <w:tab/>
      </w:r>
    </w:p>
    <w:p w:rsidR="002B396F" w:rsidRDefault="002B396F" w:rsidP="0062656B">
      <w:pPr>
        <w:tabs>
          <w:tab w:val="left" w:pos="6045"/>
        </w:tabs>
        <w:jc w:val="both"/>
      </w:pPr>
    </w:p>
    <w:p w:rsidR="002B396F" w:rsidRDefault="002B396F" w:rsidP="0062656B">
      <w:pPr>
        <w:tabs>
          <w:tab w:val="left" w:pos="6045"/>
        </w:tabs>
        <w:jc w:val="both"/>
      </w:pPr>
    </w:p>
    <w:p w:rsidR="002B396F" w:rsidRDefault="002B396F" w:rsidP="0062656B">
      <w:pPr>
        <w:tabs>
          <w:tab w:val="left" w:pos="6045"/>
        </w:tabs>
        <w:jc w:val="both"/>
      </w:pPr>
    </w:p>
    <w:p w:rsidR="002B396F" w:rsidRPr="001A37C0" w:rsidRDefault="002B396F" w:rsidP="001A37C0">
      <w:pPr>
        <w:tabs>
          <w:tab w:val="left" w:pos="6045"/>
        </w:tabs>
        <w:spacing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37C0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ขั้นตอนการเปลี่ยนแปลงสาขา ย้ายคณะ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04FA0">
        <w:rPr>
          <w:rFonts w:ascii="TH Niramit AS" w:hAnsi="TH Niramit AS" w:cs="TH Niramit AS"/>
          <w:b/>
          <w:bCs/>
          <w:sz w:val="32"/>
          <w:szCs w:val="32"/>
          <w:cs/>
        </w:rPr>
        <w:t>เอกสารที่ใช้ในการย้ายคณะหรือสาขา</w:t>
      </w:r>
    </w:p>
    <w:p w:rsidR="002B396F" w:rsidRPr="001A37C0" w:rsidRDefault="001A37C0" w:rsidP="001A37C0">
      <w:pPr>
        <w:tabs>
          <w:tab w:val="left" w:pos="6045"/>
        </w:tabs>
        <w:spacing w:after="0" w:line="240" w:lineRule="auto"/>
        <w:ind w:left="43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2B396F" w:rsidRPr="001A37C0">
        <w:rPr>
          <w:rFonts w:ascii="TH Niramit AS" w:hAnsi="TH Niramit AS" w:cs="TH Niramit AS"/>
          <w:sz w:val="32"/>
          <w:szCs w:val="32"/>
          <w:cs/>
        </w:rPr>
        <w:t>แบบฟอร์มคำร้องขอย้ายคณะหรือสาขา  จากห้องทะเบียน</w:t>
      </w:r>
    </w:p>
    <w:p w:rsidR="002B396F" w:rsidRPr="001A37C0" w:rsidRDefault="001A37C0" w:rsidP="001A37C0">
      <w:pPr>
        <w:tabs>
          <w:tab w:val="left" w:pos="6045"/>
        </w:tabs>
        <w:spacing w:after="0" w:line="240" w:lineRule="auto"/>
        <w:ind w:left="43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2B396F" w:rsidRPr="001A37C0">
        <w:rPr>
          <w:rFonts w:ascii="TH Niramit AS" w:hAnsi="TH Niramit AS" w:cs="TH Niramit AS"/>
          <w:sz w:val="32"/>
          <w:szCs w:val="32"/>
          <w:cs/>
        </w:rPr>
        <w:t>ใบรายงานผลการศึกษา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04FA0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ขั้นตอนการย้ายคณะหรือสาขา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</w:rPr>
        <w:t xml:space="preserve">1. </w:t>
      </w:r>
      <w:r w:rsidRPr="00E04FA0">
        <w:rPr>
          <w:rFonts w:ascii="TH Niramit AS" w:hAnsi="TH Niramit AS" w:cs="TH Niramit AS"/>
          <w:sz w:val="32"/>
          <w:szCs w:val="32"/>
          <w:cs/>
        </w:rPr>
        <w:t>กรอบแบบฟอร์มคำร้องย้ายคณะหรือสาขาให้ถูกต้องครบถ้วน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  <w:cs/>
        </w:rPr>
        <w:t>2.</w:t>
      </w:r>
      <w:r w:rsidR="001A37C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04FA0">
        <w:rPr>
          <w:rFonts w:ascii="TH Niramit AS" w:hAnsi="TH Niramit AS" w:cs="TH Niramit AS"/>
          <w:sz w:val="32"/>
          <w:szCs w:val="32"/>
          <w:cs/>
        </w:rPr>
        <w:t>นำแบบใบคำร้องพร้อมใบรายง</w:t>
      </w:r>
      <w:r w:rsidR="001A37C0">
        <w:rPr>
          <w:rFonts w:ascii="TH Niramit AS" w:hAnsi="TH Niramit AS" w:cs="TH Niramit AS"/>
          <w:sz w:val="32"/>
          <w:szCs w:val="32"/>
          <w:cs/>
        </w:rPr>
        <w:t>านผลการศึกษา พบอาจารย์ที่ปรึกษา</w:t>
      </w:r>
      <w:r w:rsidR="001A37C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04FA0">
        <w:rPr>
          <w:rFonts w:ascii="TH Niramit AS" w:hAnsi="TH Niramit AS" w:cs="TH Niramit AS"/>
          <w:sz w:val="32"/>
          <w:szCs w:val="32"/>
          <w:cs/>
        </w:rPr>
        <w:t>หัวหน้าสาขา(คณะเดิม)</w:t>
      </w:r>
      <w:r w:rsidR="001A37C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04FA0">
        <w:rPr>
          <w:rFonts w:ascii="TH Niramit AS" w:hAnsi="TH Niramit AS" w:cs="TH Niramit AS"/>
          <w:sz w:val="32"/>
          <w:szCs w:val="32"/>
          <w:cs/>
        </w:rPr>
        <w:t>เพื่อเซ็นอนุมัติ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  <w:cs/>
        </w:rPr>
        <w:t>3. เสนอผ่านรองอธิการฝ่ายวิชาการเพื่ออนุมัติการย้ายคณะหรือสาขา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  <w:cs/>
        </w:rPr>
        <w:t xml:space="preserve">4. ยื่นแบบใบคำร้องพร้อมใบรายงานผลการศึกษา ที่คณะเดิมเซ็นอนุมัติแล้วเสนอต่อหัวหน้าสาขา </w:t>
      </w:r>
      <w:r w:rsidR="00BB526F" w:rsidRPr="00E04FA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04FA0">
        <w:rPr>
          <w:rFonts w:ascii="TH Niramit AS" w:hAnsi="TH Niramit AS" w:cs="TH Niramit AS"/>
          <w:sz w:val="32"/>
          <w:szCs w:val="32"/>
          <w:cs/>
        </w:rPr>
        <w:t xml:space="preserve">คณบดี </w:t>
      </w:r>
      <w:r w:rsidR="00BB526F" w:rsidRPr="00E04FA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04FA0">
        <w:rPr>
          <w:rFonts w:ascii="TH Niramit AS" w:hAnsi="TH Niramit AS" w:cs="TH Niramit AS"/>
          <w:sz w:val="32"/>
          <w:szCs w:val="32"/>
          <w:cs/>
        </w:rPr>
        <w:t>คณะหรือสาขาใหม่ ที่ขอย้ายเข้าศึกษา</w:t>
      </w:r>
    </w:p>
    <w:p w:rsidR="002B396F" w:rsidRPr="00E04FA0" w:rsidRDefault="002B396F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  <w:cs/>
        </w:rPr>
        <w:t>5. ส่งแบบใบคำร้องพร้อมใบรายงานผลการศึกษา ต่อคณะกรรมการพิจารณาการเทียบโอนประจำคณะที่ย้ายเข้าศึกษา</w:t>
      </w:r>
    </w:p>
    <w:p w:rsidR="002B396F" w:rsidRDefault="002B396F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  <w:cs/>
        </w:rPr>
        <w:t>6. ติดต่อชำระเงินค่าธรรมเนียมการย้ายคณะหรือสาขา</w:t>
      </w:r>
      <w:r w:rsidR="0062656B" w:rsidRPr="00E04FA0">
        <w:rPr>
          <w:rFonts w:ascii="TH Niramit AS" w:hAnsi="TH Niramit AS" w:cs="TH Niramit AS"/>
          <w:sz w:val="32"/>
          <w:szCs w:val="32"/>
          <w:cs/>
        </w:rPr>
        <w:t xml:space="preserve"> 500 บาท ที่ฝ่ายการเงิน</w:t>
      </w:r>
    </w:p>
    <w:p w:rsidR="001A37C0" w:rsidRPr="00E04FA0" w:rsidRDefault="001A37C0" w:rsidP="001A37C0">
      <w:pPr>
        <w:tabs>
          <w:tab w:val="left" w:pos="6045"/>
        </w:tabs>
        <w:spacing w:after="0" w:line="240" w:lineRule="auto"/>
        <w:ind w:firstLine="426"/>
        <w:rPr>
          <w:rFonts w:ascii="TH Niramit AS" w:hAnsi="TH Niramit AS" w:cs="TH Niramit AS"/>
          <w:sz w:val="32"/>
          <w:szCs w:val="32"/>
        </w:rPr>
      </w:pPr>
    </w:p>
    <w:p w:rsidR="0062656B" w:rsidRPr="00E04FA0" w:rsidRDefault="0062656B" w:rsidP="001A37C0">
      <w:pPr>
        <w:tabs>
          <w:tab w:val="left" w:pos="6045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04FA0">
        <w:rPr>
          <w:rFonts w:ascii="TH Niramit AS" w:hAnsi="TH Niramit AS" w:cs="TH Niramit AS"/>
          <w:b/>
          <w:bCs/>
          <w:sz w:val="32"/>
          <w:szCs w:val="32"/>
          <w:cs/>
        </w:rPr>
        <w:t>เกณฑ์การขอย้ายคณะหรือสาขา</w:t>
      </w:r>
    </w:p>
    <w:p w:rsidR="0062656B" w:rsidRPr="00E04FA0" w:rsidRDefault="0062656B" w:rsidP="001A37C0">
      <w:pPr>
        <w:pStyle w:val="a5"/>
        <w:numPr>
          <w:ilvl w:val="0"/>
          <w:numId w:val="2"/>
        </w:numPr>
        <w:tabs>
          <w:tab w:val="left" w:pos="6045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04FA0">
        <w:rPr>
          <w:rFonts w:ascii="TH Niramit AS" w:hAnsi="TH Niramit AS" w:cs="TH Niramit AS"/>
          <w:sz w:val="32"/>
          <w:szCs w:val="32"/>
          <w:cs/>
        </w:rPr>
        <w:t>ต้องได้รับความเห็นชอบจากอาจารย์ที่ปรึกษา และได้รับอนุมัติจากคณะกรรมการประจำคณะที่เกี่ยวข้องโดยนักศึกษาที่ขอย้ายคณะหรือสาขาวิชาต้องได้ศึกษาอยู่ในคณะหรือในหลักสูตรวิชาเดิมไม่น้อยกว่า 2 ภาคการศึกษาทั้งนี้ไม่นับภาคการศึกษาที่ลาพักหรือถูกให้พัก</w:t>
      </w:r>
    </w:p>
    <w:p w:rsidR="0062656B" w:rsidRPr="00E04FA0" w:rsidRDefault="0062656B" w:rsidP="001A37C0">
      <w:pPr>
        <w:pStyle w:val="a5"/>
        <w:tabs>
          <w:tab w:val="left" w:pos="6045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  <w:cs/>
        </w:rPr>
      </w:pPr>
    </w:p>
    <w:sectPr w:rsidR="0062656B" w:rsidRPr="00E04FA0" w:rsidSect="00141C3F"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711"/>
    <w:multiLevelType w:val="hybridMultilevel"/>
    <w:tmpl w:val="D8CA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27AE5"/>
    <w:multiLevelType w:val="hybridMultilevel"/>
    <w:tmpl w:val="415856E8"/>
    <w:lvl w:ilvl="0" w:tplc="D2E09D20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17A59"/>
    <w:rsid w:val="00000011"/>
    <w:rsid w:val="0000002A"/>
    <w:rsid w:val="000D3C25"/>
    <w:rsid w:val="00141C3F"/>
    <w:rsid w:val="001A37C0"/>
    <w:rsid w:val="001E2F71"/>
    <w:rsid w:val="001F7E81"/>
    <w:rsid w:val="002B396F"/>
    <w:rsid w:val="003620AF"/>
    <w:rsid w:val="00563C00"/>
    <w:rsid w:val="00592F84"/>
    <w:rsid w:val="0062656B"/>
    <w:rsid w:val="00833EDB"/>
    <w:rsid w:val="00860660"/>
    <w:rsid w:val="00865317"/>
    <w:rsid w:val="00923F9B"/>
    <w:rsid w:val="00972F4F"/>
    <w:rsid w:val="009A0F9A"/>
    <w:rsid w:val="00A2757E"/>
    <w:rsid w:val="00BA12DA"/>
    <w:rsid w:val="00BB526F"/>
    <w:rsid w:val="00BD6950"/>
    <w:rsid w:val="00BE10C2"/>
    <w:rsid w:val="00C17A59"/>
    <w:rsid w:val="00C31A94"/>
    <w:rsid w:val="00D34E63"/>
    <w:rsid w:val="00D7491C"/>
    <w:rsid w:val="00E04FA0"/>
    <w:rsid w:val="00F024C2"/>
    <w:rsid w:val="00F8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46"/>
        <o:r id="V:Rule16" type="connector" idref="#_x0000_s1041"/>
        <o:r id="V:Rule17" type="connector" idref="#_x0000_s1059"/>
        <o:r id="V:Rule18" type="connector" idref="#_x0000_s1045"/>
        <o:r id="V:Rule19" type="connector" idref="#_x0000_s1047"/>
        <o:r id="V:Rule20" type="connector" idref="#_x0000_s1049"/>
        <o:r id="V:Rule21" type="connector" idref="#_x0000_s1043"/>
        <o:r id="V:Rule22" type="connector" idref="#_x0000_s1048"/>
        <o:r id="V:Rule23" type="connector" idref="#_x0000_s1052"/>
        <o:r id="V:Rule24" type="connector" idref="#_x0000_s1051"/>
        <o:r id="V:Rule25" type="connector" idref="#_x0000_s1044"/>
        <o:r id="V:Rule26" type="connector" idref="#_x0000_s1040"/>
        <o:r id="V:Rule27" type="connector" idref="#_x0000_s1057"/>
        <o:r id="V:Rule28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A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A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B3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2015-05-07T05:17:00Z</cp:lastPrinted>
  <dcterms:created xsi:type="dcterms:W3CDTF">2015-03-18T04:49:00Z</dcterms:created>
  <dcterms:modified xsi:type="dcterms:W3CDTF">2015-05-07T05:59:00Z</dcterms:modified>
</cp:coreProperties>
</file>